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263" w:rsidRPr="00741263" w:rsidRDefault="002D22C7" w:rsidP="00023490">
      <w:pPr>
        <w:pStyle w:val="Heading2"/>
        <w:rPr>
          <w:b/>
          <w:sz w:val="28"/>
          <w:szCs w:val="28"/>
        </w:rPr>
      </w:pPr>
      <w:bookmarkStart w:id="0" w:name="_GoBack"/>
      <w:bookmarkEnd w:id="0"/>
      <w:r w:rsidRPr="00741263">
        <w:rPr>
          <w:b/>
          <w:sz w:val="28"/>
          <w:szCs w:val="28"/>
        </w:rPr>
        <w:t>Trans</w:t>
      </w:r>
      <w:r w:rsidR="00741263" w:rsidRPr="00741263">
        <w:rPr>
          <w:b/>
          <w:sz w:val="28"/>
          <w:szCs w:val="28"/>
        </w:rPr>
        <w:t>ition Research P</w:t>
      </w:r>
      <w:r w:rsidRPr="00741263">
        <w:rPr>
          <w:b/>
          <w:sz w:val="28"/>
          <w:szCs w:val="28"/>
        </w:rPr>
        <w:t>rogramme</w:t>
      </w:r>
    </w:p>
    <w:p w:rsidR="00023490" w:rsidRPr="00741263" w:rsidRDefault="00023490" w:rsidP="00F7142A">
      <w:pPr>
        <w:spacing w:after="0"/>
        <w:rPr>
          <w:rFonts w:asciiTheme="majorHAnsi" w:eastAsiaTheme="majorEastAsia" w:hAnsiTheme="majorHAnsi" w:cstheme="majorBidi"/>
          <w:b/>
          <w:color w:val="365F91" w:themeColor="accent1" w:themeShade="BF"/>
          <w:sz w:val="36"/>
          <w:szCs w:val="36"/>
        </w:rPr>
      </w:pPr>
      <w:r w:rsidRPr="00741263">
        <w:rPr>
          <w:rFonts w:asciiTheme="majorHAnsi" w:eastAsiaTheme="majorEastAsia" w:hAnsiTheme="majorHAnsi" w:cstheme="majorBidi"/>
          <w:b/>
          <w:color w:val="365F91" w:themeColor="accent1" w:themeShade="BF"/>
          <w:sz w:val="36"/>
          <w:szCs w:val="36"/>
        </w:rPr>
        <w:t xml:space="preserve">Implications for </w:t>
      </w:r>
      <w:r w:rsidR="002951BF">
        <w:rPr>
          <w:rFonts w:asciiTheme="majorHAnsi" w:eastAsiaTheme="majorEastAsia" w:hAnsiTheme="majorHAnsi" w:cstheme="majorBidi"/>
          <w:b/>
          <w:color w:val="365F91" w:themeColor="accent1" w:themeShade="BF"/>
          <w:sz w:val="36"/>
          <w:szCs w:val="36"/>
        </w:rPr>
        <w:t>Young P</w:t>
      </w:r>
      <w:r w:rsidR="00024ED5" w:rsidRPr="00741263">
        <w:rPr>
          <w:rFonts w:asciiTheme="majorHAnsi" w:eastAsiaTheme="majorEastAsia" w:hAnsiTheme="majorHAnsi" w:cstheme="majorBidi"/>
          <w:b/>
          <w:color w:val="365F91" w:themeColor="accent1" w:themeShade="BF"/>
          <w:sz w:val="36"/>
          <w:szCs w:val="36"/>
        </w:rPr>
        <w:t>eople with long term conditions</w:t>
      </w:r>
      <w:r w:rsidR="00741263" w:rsidRPr="00741263">
        <w:rPr>
          <w:rFonts w:asciiTheme="majorHAnsi" w:eastAsiaTheme="majorEastAsia" w:hAnsiTheme="majorHAnsi" w:cstheme="majorBidi"/>
          <w:b/>
          <w:color w:val="365F91" w:themeColor="accent1" w:themeShade="BF"/>
          <w:sz w:val="36"/>
          <w:szCs w:val="36"/>
        </w:rPr>
        <w:t xml:space="preserve"> in transition</w:t>
      </w:r>
    </w:p>
    <w:p w:rsidR="008F0C6D" w:rsidRPr="008F0C6D" w:rsidRDefault="00023490" w:rsidP="00F7142A">
      <w:pPr>
        <w:jc w:val="both"/>
        <w:rPr>
          <w:sz w:val="24"/>
          <w:szCs w:val="24"/>
        </w:rPr>
      </w:pPr>
      <w:r w:rsidRPr="008F0C6D">
        <w:rPr>
          <w:sz w:val="24"/>
          <w:szCs w:val="24"/>
        </w:rPr>
        <w:t>Young person with cerebral palsy:</w:t>
      </w:r>
      <w:r w:rsidRPr="008F0C6D">
        <w:rPr>
          <w:i/>
          <w:sz w:val="24"/>
          <w:szCs w:val="24"/>
        </w:rPr>
        <w:t xml:space="preserve"> “It was like once I turned 18 I kind of didn’t exist to them at all, that was it. So there wasn’t anything done”.</w:t>
      </w:r>
    </w:p>
    <w:p w:rsidR="00023490" w:rsidRDefault="00023490" w:rsidP="00084B79">
      <w:pPr>
        <w:spacing w:after="0"/>
        <w:jc w:val="both"/>
        <w:rPr>
          <w:b/>
          <w:sz w:val="28"/>
          <w:szCs w:val="28"/>
        </w:rPr>
      </w:pPr>
      <w:r w:rsidRPr="005743CB">
        <w:rPr>
          <w:b/>
          <w:sz w:val="28"/>
          <w:szCs w:val="28"/>
        </w:rPr>
        <w:t xml:space="preserve">What </w:t>
      </w:r>
      <w:r>
        <w:rPr>
          <w:b/>
          <w:sz w:val="28"/>
          <w:szCs w:val="28"/>
        </w:rPr>
        <w:t>is meant by</w:t>
      </w:r>
      <w:r w:rsidRPr="005743CB">
        <w:rPr>
          <w:b/>
          <w:sz w:val="28"/>
          <w:szCs w:val="28"/>
        </w:rPr>
        <w:t xml:space="preserve"> ‘Transition’ and ‘Transfer’</w:t>
      </w:r>
      <w:r w:rsidR="001E7F93">
        <w:rPr>
          <w:b/>
          <w:sz w:val="28"/>
          <w:szCs w:val="28"/>
        </w:rPr>
        <w:t xml:space="preserve"> of</w:t>
      </w:r>
      <w:r>
        <w:rPr>
          <w:b/>
          <w:sz w:val="28"/>
          <w:szCs w:val="28"/>
        </w:rPr>
        <w:t xml:space="preserve"> young people?</w:t>
      </w:r>
    </w:p>
    <w:p w:rsidR="00023490" w:rsidRPr="00AB214C" w:rsidRDefault="00023490" w:rsidP="00F7142A">
      <w:pPr>
        <w:spacing w:after="0"/>
        <w:jc w:val="both"/>
        <w:rPr>
          <w:sz w:val="24"/>
          <w:szCs w:val="24"/>
        </w:rPr>
      </w:pPr>
      <w:r w:rsidRPr="00AB214C">
        <w:rPr>
          <w:sz w:val="24"/>
          <w:szCs w:val="24"/>
        </w:rPr>
        <w:t>These two terms are often used interchangeably but in fact refer to different things.</w:t>
      </w:r>
    </w:p>
    <w:p w:rsidR="00023490" w:rsidRPr="00F01F54" w:rsidRDefault="00023490" w:rsidP="00084B79">
      <w:pPr>
        <w:spacing w:after="0"/>
        <w:jc w:val="both"/>
        <w:rPr>
          <w:sz w:val="24"/>
          <w:szCs w:val="24"/>
        </w:rPr>
      </w:pPr>
      <w:r w:rsidRPr="00F01F54">
        <w:rPr>
          <w:b/>
          <w:sz w:val="24"/>
          <w:szCs w:val="24"/>
        </w:rPr>
        <w:t>‘Transition’</w:t>
      </w:r>
      <w:r w:rsidRPr="00F01F54">
        <w:rPr>
          <w:sz w:val="24"/>
          <w:szCs w:val="24"/>
        </w:rPr>
        <w:t xml:space="preserve"> is the purposeful, planned process that addresses the medical, psychosocial and educational/vocational needs of adolescents and young adults with </w:t>
      </w:r>
      <w:r>
        <w:rPr>
          <w:sz w:val="24"/>
          <w:szCs w:val="24"/>
        </w:rPr>
        <w:t xml:space="preserve">long term </w:t>
      </w:r>
      <w:r w:rsidRPr="00F01F54">
        <w:rPr>
          <w:sz w:val="24"/>
          <w:szCs w:val="24"/>
        </w:rPr>
        <w:t>conditions as they move from child-centred to adult-oriented health care systems.</w:t>
      </w:r>
    </w:p>
    <w:p w:rsidR="00023490" w:rsidRPr="00F01F54" w:rsidRDefault="00023490" w:rsidP="00084B79">
      <w:pPr>
        <w:jc w:val="both"/>
        <w:rPr>
          <w:sz w:val="24"/>
          <w:szCs w:val="24"/>
        </w:rPr>
      </w:pPr>
      <w:r w:rsidRPr="00F01F54">
        <w:rPr>
          <w:b/>
          <w:sz w:val="24"/>
          <w:szCs w:val="24"/>
        </w:rPr>
        <w:t>‘Transfer’</w:t>
      </w:r>
      <w:r w:rsidRPr="00F01F54">
        <w:rPr>
          <w:sz w:val="24"/>
          <w:szCs w:val="24"/>
        </w:rPr>
        <w:t xml:space="preserve"> is the formal event when </w:t>
      </w:r>
      <w:r>
        <w:rPr>
          <w:sz w:val="24"/>
          <w:szCs w:val="24"/>
        </w:rPr>
        <w:t>the healthcare</w:t>
      </w:r>
      <w:r w:rsidRPr="00F01F54">
        <w:rPr>
          <w:sz w:val="24"/>
          <w:szCs w:val="24"/>
        </w:rPr>
        <w:t xml:space="preserve"> of a young person moves from children’s services to adult services.</w:t>
      </w:r>
    </w:p>
    <w:p w:rsidR="00023490" w:rsidRPr="005743CB" w:rsidRDefault="00023490" w:rsidP="00084B79">
      <w:pPr>
        <w:spacing w:after="0" w:line="240" w:lineRule="auto"/>
        <w:jc w:val="both"/>
        <w:rPr>
          <w:b/>
          <w:sz w:val="28"/>
          <w:szCs w:val="28"/>
        </w:rPr>
      </w:pPr>
      <w:r w:rsidRPr="005743CB">
        <w:rPr>
          <w:b/>
          <w:sz w:val="28"/>
          <w:szCs w:val="28"/>
        </w:rPr>
        <w:t>Why is Transition important?</w:t>
      </w:r>
    </w:p>
    <w:p w:rsidR="00023490" w:rsidRPr="009969C1" w:rsidRDefault="00023490" w:rsidP="00F7142A">
      <w:pPr>
        <w:pStyle w:val="NoSpacing"/>
        <w:numPr>
          <w:ilvl w:val="0"/>
          <w:numId w:val="10"/>
        </w:numPr>
        <w:spacing w:line="276" w:lineRule="auto"/>
        <w:ind w:left="426" w:hanging="426"/>
        <w:jc w:val="both"/>
        <w:rPr>
          <w:sz w:val="24"/>
          <w:szCs w:val="24"/>
        </w:rPr>
      </w:pPr>
      <w:r w:rsidRPr="00435831">
        <w:rPr>
          <w:sz w:val="24"/>
          <w:szCs w:val="24"/>
        </w:rPr>
        <w:t>The number of young people in transition to adulthood is increasing</w:t>
      </w:r>
      <w:r w:rsidR="009969C1">
        <w:rPr>
          <w:sz w:val="24"/>
          <w:szCs w:val="24"/>
        </w:rPr>
        <w:t>; m</w:t>
      </w:r>
      <w:r w:rsidR="009969C1" w:rsidRPr="009969C1">
        <w:rPr>
          <w:sz w:val="24"/>
          <w:szCs w:val="24"/>
        </w:rPr>
        <w:t>any children with long term conditions, who now live into adulthood, might previously have died</w:t>
      </w:r>
      <w:r w:rsidRPr="00435831">
        <w:rPr>
          <w:sz w:val="24"/>
          <w:szCs w:val="24"/>
        </w:rPr>
        <w:t>. In an NHS Trust serving a population of 270,000, about 10</w:t>
      </w:r>
      <w:r>
        <w:rPr>
          <w:sz w:val="24"/>
          <w:szCs w:val="24"/>
        </w:rPr>
        <w:t>0</w:t>
      </w:r>
      <w:r w:rsidRPr="00435831">
        <w:rPr>
          <w:sz w:val="24"/>
          <w:szCs w:val="24"/>
        </w:rPr>
        <w:t xml:space="preserve"> young people with </w:t>
      </w:r>
      <w:r>
        <w:rPr>
          <w:sz w:val="24"/>
          <w:szCs w:val="24"/>
        </w:rPr>
        <w:t xml:space="preserve">long term conditions </w:t>
      </w:r>
      <w:r w:rsidRPr="00435831">
        <w:rPr>
          <w:sz w:val="24"/>
          <w:szCs w:val="24"/>
        </w:rPr>
        <w:t xml:space="preserve">reach age 16 each year. As transition </w:t>
      </w:r>
      <w:r>
        <w:rPr>
          <w:sz w:val="24"/>
          <w:szCs w:val="24"/>
        </w:rPr>
        <w:t xml:space="preserve">takes place over about </w:t>
      </w:r>
      <w:r w:rsidRPr="00435831">
        <w:rPr>
          <w:sz w:val="24"/>
          <w:szCs w:val="24"/>
        </w:rPr>
        <w:t>7 years, the number in transition at any tim</w:t>
      </w:r>
      <w:r>
        <w:rPr>
          <w:sz w:val="24"/>
          <w:szCs w:val="24"/>
        </w:rPr>
        <w:t>e in a typical Trust is about 70</w:t>
      </w:r>
      <w:r w:rsidRPr="00435831">
        <w:rPr>
          <w:sz w:val="24"/>
          <w:szCs w:val="24"/>
        </w:rPr>
        <w:t>0.</w:t>
      </w:r>
    </w:p>
    <w:p w:rsidR="00023490" w:rsidRDefault="00023490" w:rsidP="00F7142A">
      <w:pPr>
        <w:pStyle w:val="NoSpacing"/>
        <w:numPr>
          <w:ilvl w:val="0"/>
          <w:numId w:val="10"/>
        </w:numPr>
        <w:spacing w:line="276" w:lineRule="auto"/>
        <w:ind w:left="426" w:hanging="426"/>
        <w:jc w:val="both"/>
        <w:rPr>
          <w:sz w:val="24"/>
          <w:szCs w:val="24"/>
        </w:rPr>
      </w:pPr>
      <w:r>
        <w:rPr>
          <w:sz w:val="24"/>
          <w:szCs w:val="24"/>
        </w:rPr>
        <w:t>There are risks if transition is not successful. Disease control, continuity of healthcare, and co-ordination of care are compromised; and the outcomes of</w:t>
      </w:r>
      <w:r w:rsidR="001E7F93">
        <w:rPr>
          <w:sz w:val="24"/>
          <w:szCs w:val="24"/>
        </w:rPr>
        <w:t>:</w:t>
      </w:r>
      <w:r>
        <w:rPr>
          <w:sz w:val="24"/>
          <w:szCs w:val="24"/>
        </w:rPr>
        <w:t xml:space="preserve"> </w:t>
      </w:r>
      <w:r w:rsidR="001E7F93">
        <w:rPr>
          <w:sz w:val="24"/>
          <w:szCs w:val="24"/>
        </w:rPr>
        <w:t xml:space="preserve"> </w:t>
      </w:r>
      <w:r>
        <w:rPr>
          <w:sz w:val="24"/>
          <w:szCs w:val="24"/>
        </w:rPr>
        <w:t>healthcare costs in later life, social participation</w:t>
      </w:r>
      <w:r w:rsidR="001E7F93">
        <w:rPr>
          <w:sz w:val="24"/>
          <w:szCs w:val="24"/>
        </w:rPr>
        <w:t>,</w:t>
      </w:r>
      <w:r>
        <w:rPr>
          <w:sz w:val="24"/>
          <w:szCs w:val="24"/>
        </w:rPr>
        <w:t xml:space="preserve"> and employment</w:t>
      </w:r>
      <w:r w:rsidR="001E7F93">
        <w:rPr>
          <w:sz w:val="24"/>
          <w:szCs w:val="24"/>
        </w:rPr>
        <w:t xml:space="preserve"> or </w:t>
      </w:r>
      <w:r>
        <w:rPr>
          <w:sz w:val="24"/>
          <w:szCs w:val="24"/>
        </w:rPr>
        <w:t xml:space="preserve">further education are </w:t>
      </w:r>
      <w:r w:rsidR="00085EAB">
        <w:rPr>
          <w:sz w:val="24"/>
          <w:szCs w:val="24"/>
        </w:rPr>
        <w:t xml:space="preserve">often </w:t>
      </w:r>
      <w:r>
        <w:rPr>
          <w:sz w:val="24"/>
          <w:szCs w:val="24"/>
        </w:rPr>
        <w:t>poor.</w:t>
      </w:r>
    </w:p>
    <w:p w:rsidR="00023490" w:rsidRPr="00F01F54" w:rsidRDefault="00023490" w:rsidP="00F7142A">
      <w:pPr>
        <w:pStyle w:val="NoSpacing"/>
        <w:numPr>
          <w:ilvl w:val="0"/>
          <w:numId w:val="10"/>
        </w:numPr>
        <w:spacing w:line="276" w:lineRule="auto"/>
        <w:ind w:left="426" w:hanging="426"/>
        <w:jc w:val="both"/>
        <w:rPr>
          <w:sz w:val="24"/>
          <w:szCs w:val="24"/>
        </w:rPr>
      </w:pPr>
      <w:r>
        <w:rPr>
          <w:sz w:val="24"/>
          <w:szCs w:val="24"/>
        </w:rPr>
        <w:t xml:space="preserve">Recent understanding of how much the brain changes during </w:t>
      </w:r>
      <w:r w:rsidRPr="00F01F54">
        <w:rPr>
          <w:sz w:val="24"/>
          <w:szCs w:val="24"/>
        </w:rPr>
        <w:t>adolescen</w:t>
      </w:r>
      <w:r>
        <w:rPr>
          <w:sz w:val="24"/>
          <w:szCs w:val="24"/>
        </w:rPr>
        <w:t>ce explains why adolescents behave and react differently to children and adults</w:t>
      </w:r>
    </w:p>
    <w:p w:rsidR="008F61CF" w:rsidRPr="001764E9" w:rsidRDefault="008F61CF" w:rsidP="00F7142A">
      <w:pPr>
        <w:pStyle w:val="NoSpacing"/>
        <w:numPr>
          <w:ilvl w:val="0"/>
          <w:numId w:val="10"/>
        </w:numPr>
        <w:spacing w:line="276" w:lineRule="auto"/>
        <w:ind w:left="426" w:hanging="426"/>
        <w:jc w:val="both"/>
        <w:rPr>
          <w:sz w:val="24"/>
          <w:szCs w:val="24"/>
        </w:rPr>
      </w:pPr>
      <w:r w:rsidRPr="001764E9">
        <w:rPr>
          <w:sz w:val="24"/>
          <w:szCs w:val="24"/>
        </w:rPr>
        <w:t>Adult services for some groups are not routinely provided, such as for Adults with Attention Deficit Disorder</w:t>
      </w:r>
    </w:p>
    <w:p w:rsidR="00023490" w:rsidRDefault="00023490" w:rsidP="00F7142A">
      <w:pPr>
        <w:pStyle w:val="NoSpacing"/>
        <w:numPr>
          <w:ilvl w:val="0"/>
          <w:numId w:val="10"/>
        </w:numPr>
        <w:spacing w:line="276" w:lineRule="auto"/>
        <w:ind w:left="426" w:hanging="426"/>
        <w:jc w:val="both"/>
        <w:rPr>
          <w:sz w:val="24"/>
          <w:szCs w:val="24"/>
        </w:rPr>
      </w:pPr>
      <w:r>
        <w:rPr>
          <w:sz w:val="24"/>
          <w:szCs w:val="24"/>
        </w:rPr>
        <w:t>Unless specifically commissioned, a</w:t>
      </w:r>
      <w:r w:rsidRPr="00B02404">
        <w:rPr>
          <w:sz w:val="24"/>
          <w:szCs w:val="24"/>
        </w:rPr>
        <w:t xml:space="preserve">rrangements for </w:t>
      </w:r>
      <w:r w:rsidR="00661D42">
        <w:rPr>
          <w:sz w:val="24"/>
          <w:szCs w:val="24"/>
        </w:rPr>
        <w:t xml:space="preserve">promoting </w:t>
      </w:r>
      <w:r w:rsidRPr="00B02404">
        <w:rPr>
          <w:sz w:val="24"/>
          <w:szCs w:val="24"/>
        </w:rPr>
        <w:t>successful trans</w:t>
      </w:r>
      <w:r>
        <w:rPr>
          <w:sz w:val="24"/>
          <w:szCs w:val="24"/>
        </w:rPr>
        <w:t xml:space="preserve">ition </w:t>
      </w:r>
      <w:r w:rsidRPr="00B02404">
        <w:rPr>
          <w:sz w:val="24"/>
          <w:szCs w:val="24"/>
        </w:rPr>
        <w:t xml:space="preserve">can fall all too easily between child and adult services </w:t>
      </w:r>
      <w:r>
        <w:rPr>
          <w:sz w:val="24"/>
          <w:szCs w:val="24"/>
        </w:rPr>
        <w:t xml:space="preserve"> and so not be provided</w:t>
      </w:r>
    </w:p>
    <w:p w:rsidR="00023490" w:rsidRDefault="00023490" w:rsidP="00084B79">
      <w:pPr>
        <w:pStyle w:val="NoSpacing"/>
        <w:jc w:val="both"/>
        <w:rPr>
          <w:sz w:val="24"/>
          <w:szCs w:val="24"/>
        </w:rPr>
      </w:pPr>
    </w:p>
    <w:p w:rsidR="00023490" w:rsidRPr="005743CB" w:rsidRDefault="00023490" w:rsidP="00084B79">
      <w:pPr>
        <w:spacing w:after="0"/>
        <w:jc w:val="both"/>
        <w:rPr>
          <w:b/>
          <w:sz w:val="28"/>
          <w:szCs w:val="28"/>
        </w:rPr>
      </w:pPr>
      <w:r w:rsidRPr="005743CB">
        <w:rPr>
          <w:b/>
          <w:sz w:val="28"/>
          <w:szCs w:val="28"/>
        </w:rPr>
        <w:t>Transition in the UK</w:t>
      </w:r>
    </w:p>
    <w:p w:rsidR="00023490" w:rsidRPr="00F01F54" w:rsidRDefault="00023490" w:rsidP="00084B79">
      <w:pPr>
        <w:spacing w:after="0"/>
        <w:jc w:val="both"/>
        <w:rPr>
          <w:sz w:val="24"/>
          <w:szCs w:val="24"/>
        </w:rPr>
      </w:pPr>
      <w:r>
        <w:rPr>
          <w:sz w:val="24"/>
          <w:szCs w:val="24"/>
        </w:rPr>
        <w:t xml:space="preserve">There is </w:t>
      </w:r>
      <w:r w:rsidRPr="00F01F54">
        <w:rPr>
          <w:sz w:val="24"/>
          <w:szCs w:val="24"/>
        </w:rPr>
        <w:t xml:space="preserve">an expectation that transition should improve and </w:t>
      </w:r>
      <w:r>
        <w:rPr>
          <w:sz w:val="24"/>
          <w:szCs w:val="24"/>
        </w:rPr>
        <w:t xml:space="preserve">that </w:t>
      </w:r>
      <w:r w:rsidRPr="00F01F54">
        <w:rPr>
          <w:sz w:val="24"/>
          <w:szCs w:val="24"/>
        </w:rPr>
        <w:t>this is the shared responsibility of commissioners, provider</w:t>
      </w:r>
      <w:r>
        <w:rPr>
          <w:sz w:val="24"/>
          <w:szCs w:val="24"/>
        </w:rPr>
        <w:t>s</w:t>
      </w:r>
      <w:r w:rsidRPr="00F01F54">
        <w:rPr>
          <w:sz w:val="24"/>
          <w:szCs w:val="24"/>
        </w:rPr>
        <w:t xml:space="preserve"> and clinicians</w:t>
      </w:r>
      <w:r>
        <w:rPr>
          <w:sz w:val="24"/>
          <w:szCs w:val="24"/>
        </w:rPr>
        <w:t>. Recent policy includes</w:t>
      </w:r>
      <w:r w:rsidRPr="00F01F54">
        <w:rPr>
          <w:sz w:val="24"/>
          <w:szCs w:val="24"/>
        </w:rPr>
        <w:t>:</w:t>
      </w:r>
    </w:p>
    <w:p w:rsidR="00023490" w:rsidRPr="00F01F54" w:rsidRDefault="00023490" w:rsidP="00084B79">
      <w:pPr>
        <w:pStyle w:val="ListParagraph"/>
        <w:numPr>
          <w:ilvl w:val="0"/>
          <w:numId w:val="9"/>
        </w:numPr>
        <w:jc w:val="both"/>
        <w:rPr>
          <w:sz w:val="24"/>
          <w:szCs w:val="24"/>
        </w:rPr>
      </w:pPr>
      <w:r w:rsidRPr="00F01F54">
        <w:rPr>
          <w:sz w:val="24"/>
          <w:szCs w:val="24"/>
        </w:rPr>
        <w:t>Central government guidance for 1</w:t>
      </w:r>
      <w:r>
        <w:rPr>
          <w:sz w:val="24"/>
          <w:szCs w:val="24"/>
        </w:rPr>
        <w:t>0</w:t>
      </w:r>
      <w:r w:rsidRPr="00F01F54">
        <w:rPr>
          <w:sz w:val="24"/>
          <w:szCs w:val="24"/>
        </w:rPr>
        <w:t xml:space="preserve"> years</w:t>
      </w:r>
      <w:r>
        <w:rPr>
          <w:sz w:val="24"/>
          <w:szCs w:val="24"/>
        </w:rPr>
        <w:t xml:space="preserve"> e.g. ‘Transition: moving on well’, DH</w:t>
      </w:r>
      <w:r w:rsidR="00085EAB">
        <w:rPr>
          <w:sz w:val="24"/>
          <w:szCs w:val="24"/>
        </w:rPr>
        <w:t>,</w:t>
      </w:r>
      <w:r>
        <w:rPr>
          <w:sz w:val="24"/>
          <w:szCs w:val="24"/>
        </w:rPr>
        <w:t xml:space="preserve"> 2008</w:t>
      </w:r>
    </w:p>
    <w:p w:rsidR="00023490" w:rsidRPr="00F01F54" w:rsidRDefault="00023490" w:rsidP="00084B79">
      <w:pPr>
        <w:pStyle w:val="ListParagraph"/>
        <w:numPr>
          <w:ilvl w:val="0"/>
          <w:numId w:val="9"/>
        </w:numPr>
        <w:jc w:val="both"/>
        <w:rPr>
          <w:sz w:val="24"/>
          <w:szCs w:val="24"/>
        </w:rPr>
      </w:pPr>
      <w:r w:rsidRPr="00F01F54">
        <w:rPr>
          <w:sz w:val="24"/>
          <w:szCs w:val="24"/>
        </w:rPr>
        <w:t>Kennedy Report 201</w:t>
      </w:r>
      <w:r>
        <w:rPr>
          <w:sz w:val="24"/>
          <w:szCs w:val="24"/>
        </w:rPr>
        <w:t>0.</w:t>
      </w:r>
      <w:r w:rsidRPr="00F01F54">
        <w:rPr>
          <w:sz w:val="24"/>
          <w:szCs w:val="24"/>
        </w:rPr>
        <w:t xml:space="preserve"> Recommendation 32</w:t>
      </w:r>
      <w:r>
        <w:rPr>
          <w:sz w:val="24"/>
          <w:szCs w:val="24"/>
        </w:rPr>
        <w:t xml:space="preserve"> about commissioning for transition</w:t>
      </w:r>
    </w:p>
    <w:p w:rsidR="00023490" w:rsidRPr="00F01F54" w:rsidRDefault="00023490" w:rsidP="00084B79">
      <w:pPr>
        <w:pStyle w:val="ListParagraph"/>
        <w:numPr>
          <w:ilvl w:val="0"/>
          <w:numId w:val="9"/>
        </w:numPr>
        <w:jc w:val="both"/>
        <w:rPr>
          <w:sz w:val="24"/>
          <w:szCs w:val="24"/>
        </w:rPr>
      </w:pPr>
      <w:r w:rsidRPr="00F01F54">
        <w:rPr>
          <w:sz w:val="24"/>
          <w:szCs w:val="24"/>
        </w:rPr>
        <w:t>Care Quality Commission ‘From the Pond to the Sea’</w:t>
      </w:r>
      <w:r w:rsidR="00085EAB">
        <w:rPr>
          <w:sz w:val="24"/>
          <w:szCs w:val="24"/>
        </w:rPr>
        <w:t>,</w:t>
      </w:r>
      <w:r w:rsidRPr="00F01F54">
        <w:rPr>
          <w:sz w:val="24"/>
          <w:szCs w:val="24"/>
        </w:rPr>
        <w:t xml:space="preserve"> 2015</w:t>
      </w:r>
    </w:p>
    <w:p w:rsidR="00023490" w:rsidRPr="009A3200" w:rsidRDefault="00023490" w:rsidP="00084B79">
      <w:pPr>
        <w:pStyle w:val="ListParagraph"/>
        <w:numPr>
          <w:ilvl w:val="0"/>
          <w:numId w:val="9"/>
        </w:numPr>
        <w:jc w:val="both"/>
        <w:rPr>
          <w:sz w:val="24"/>
          <w:szCs w:val="24"/>
        </w:rPr>
      </w:pPr>
      <w:r>
        <w:rPr>
          <w:sz w:val="24"/>
          <w:szCs w:val="24"/>
        </w:rPr>
        <w:t xml:space="preserve">NICE </w:t>
      </w:r>
      <w:r w:rsidRPr="009A3200">
        <w:rPr>
          <w:sz w:val="24"/>
          <w:szCs w:val="24"/>
        </w:rPr>
        <w:t>Guidance</w:t>
      </w:r>
      <w:r w:rsidR="00085EAB">
        <w:rPr>
          <w:sz w:val="24"/>
          <w:szCs w:val="24"/>
        </w:rPr>
        <w:t xml:space="preserve">, </w:t>
      </w:r>
      <w:r w:rsidRPr="009A3200">
        <w:rPr>
          <w:sz w:val="24"/>
          <w:szCs w:val="24"/>
        </w:rPr>
        <w:t>2016</w:t>
      </w:r>
    </w:p>
    <w:p w:rsidR="00023490" w:rsidRPr="005743CB" w:rsidRDefault="00023490" w:rsidP="00084B79">
      <w:pPr>
        <w:spacing w:after="0"/>
        <w:jc w:val="both"/>
        <w:rPr>
          <w:b/>
          <w:sz w:val="28"/>
          <w:szCs w:val="28"/>
        </w:rPr>
      </w:pPr>
      <w:r w:rsidRPr="009A3200">
        <w:rPr>
          <w:b/>
          <w:sz w:val="28"/>
          <w:szCs w:val="28"/>
        </w:rPr>
        <w:t>The 5</w:t>
      </w:r>
      <w:r w:rsidR="009E1B35">
        <w:rPr>
          <w:b/>
          <w:sz w:val="28"/>
          <w:szCs w:val="28"/>
        </w:rPr>
        <w:t>-</w:t>
      </w:r>
      <w:r w:rsidRPr="009A3200">
        <w:rPr>
          <w:b/>
          <w:sz w:val="28"/>
          <w:szCs w:val="28"/>
        </w:rPr>
        <w:t>year NIHR funded</w:t>
      </w:r>
      <w:r w:rsidRPr="005743CB">
        <w:rPr>
          <w:b/>
          <w:sz w:val="28"/>
          <w:szCs w:val="28"/>
        </w:rPr>
        <w:t xml:space="preserve"> research programme on transition report</w:t>
      </w:r>
      <w:r>
        <w:rPr>
          <w:b/>
          <w:sz w:val="28"/>
          <w:szCs w:val="28"/>
        </w:rPr>
        <w:t>s Oct 2</w:t>
      </w:r>
      <w:r w:rsidRPr="005743CB">
        <w:rPr>
          <w:b/>
          <w:sz w:val="28"/>
          <w:szCs w:val="28"/>
        </w:rPr>
        <w:t>017</w:t>
      </w:r>
    </w:p>
    <w:p w:rsidR="00023490" w:rsidRDefault="009E1B35" w:rsidP="00084B79">
      <w:pPr>
        <w:jc w:val="both"/>
        <w:rPr>
          <w:sz w:val="24"/>
          <w:szCs w:val="24"/>
        </w:rPr>
      </w:pPr>
      <w:r>
        <w:rPr>
          <w:sz w:val="24"/>
          <w:szCs w:val="24"/>
        </w:rPr>
        <w:t>We completed an</w:t>
      </w:r>
      <w:r w:rsidR="002D22C7">
        <w:rPr>
          <w:sz w:val="24"/>
          <w:szCs w:val="24"/>
        </w:rPr>
        <w:t xml:space="preserve"> </w:t>
      </w:r>
      <w:r w:rsidR="00023490" w:rsidRPr="009A3200">
        <w:rPr>
          <w:sz w:val="24"/>
          <w:szCs w:val="24"/>
        </w:rPr>
        <w:t xml:space="preserve">NIHR funded </w:t>
      </w:r>
      <w:r>
        <w:rPr>
          <w:sz w:val="24"/>
          <w:szCs w:val="24"/>
        </w:rPr>
        <w:t>Programme of R</w:t>
      </w:r>
      <w:r w:rsidR="00023490" w:rsidRPr="009A3200">
        <w:rPr>
          <w:sz w:val="24"/>
          <w:szCs w:val="24"/>
        </w:rPr>
        <w:t>esearch into Transition</w:t>
      </w:r>
      <w:r w:rsidR="002D22C7">
        <w:rPr>
          <w:sz w:val="24"/>
          <w:szCs w:val="24"/>
        </w:rPr>
        <w:t xml:space="preserve"> in October 2017. </w:t>
      </w:r>
      <w:r w:rsidR="00E700B7">
        <w:rPr>
          <w:sz w:val="24"/>
          <w:szCs w:val="24"/>
        </w:rPr>
        <w:t>On the next page are</w:t>
      </w:r>
      <w:r w:rsidR="00325F65">
        <w:rPr>
          <w:sz w:val="24"/>
          <w:szCs w:val="24"/>
        </w:rPr>
        <w:t xml:space="preserve"> implications of our work which may be </w:t>
      </w:r>
      <w:r w:rsidR="005174F4">
        <w:rPr>
          <w:sz w:val="24"/>
          <w:szCs w:val="24"/>
        </w:rPr>
        <w:t>of interest to you.</w:t>
      </w:r>
      <w:r>
        <w:rPr>
          <w:sz w:val="24"/>
          <w:szCs w:val="24"/>
        </w:rPr>
        <w:t xml:space="preserve">    </w:t>
      </w:r>
      <w:r w:rsidR="00F7142A">
        <w:rPr>
          <w:sz w:val="24"/>
          <w:szCs w:val="24"/>
        </w:rPr>
        <w:t xml:space="preserve">       </w:t>
      </w:r>
      <w:r>
        <w:rPr>
          <w:sz w:val="24"/>
          <w:szCs w:val="24"/>
        </w:rPr>
        <w:t xml:space="preserve">    </w:t>
      </w:r>
      <w:r w:rsidR="005174F4">
        <w:rPr>
          <w:sz w:val="24"/>
          <w:szCs w:val="24"/>
        </w:rPr>
        <w:t xml:space="preserve">   </w:t>
      </w:r>
      <w:r>
        <w:rPr>
          <w:sz w:val="24"/>
          <w:szCs w:val="24"/>
        </w:rPr>
        <w:t xml:space="preserve">    </w:t>
      </w:r>
      <w:r w:rsidR="00B73728">
        <w:rPr>
          <w:sz w:val="24"/>
          <w:szCs w:val="24"/>
        </w:rPr>
        <w:t>PTO</w:t>
      </w:r>
      <w:r w:rsidR="00023490">
        <w:rPr>
          <w:sz w:val="24"/>
          <w:szCs w:val="24"/>
        </w:rPr>
        <w:br w:type="page"/>
      </w:r>
    </w:p>
    <w:p w:rsidR="00E700B7" w:rsidRDefault="00023490" w:rsidP="00023490">
      <w:pPr>
        <w:spacing w:after="0"/>
        <w:rPr>
          <w:b/>
          <w:sz w:val="32"/>
          <w:szCs w:val="32"/>
        </w:rPr>
      </w:pPr>
      <w:r>
        <w:rPr>
          <w:b/>
          <w:sz w:val="32"/>
          <w:szCs w:val="32"/>
        </w:rPr>
        <w:lastRenderedPageBreak/>
        <w:t xml:space="preserve">Implications for young people </w:t>
      </w:r>
      <w:r w:rsidR="00BE5E00">
        <w:rPr>
          <w:b/>
          <w:sz w:val="32"/>
          <w:szCs w:val="32"/>
        </w:rPr>
        <w:t xml:space="preserve">in transition </w:t>
      </w:r>
      <w:r>
        <w:rPr>
          <w:b/>
          <w:sz w:val="32"/>
          <w:szCs w:val="32"/>
        </w:rPr>
        <w:t xml:space="preserve">with </w:t>
      </w:r>
      <w:r w:rsidR="00BE5E00">
        <w:rPr>
          <w:b/>
          <w:sz w:val="32"/>
          <w:szCs w:val="32"/>
        </w:rPr>
        <w:t>a long term condition</w:t>
      </w:r>
    </w:p>
    <w:p w:rsidR="00325F65" w:rsidRPr="00A91BA9" w:rsidRDefault="00325F65" w:rsidP="00084B79">
      <w:pPr>
        <w:pStyle w:val="ListParagraph"/>
        <w:numPr>
          <w:ilvl w:val="0"/>
          <w:numId w:val="14"/>
        </w:numPr>
        <w:spacing w:after="0"/>
        <w:ind w:left="284" w:hanging="284"/>
        <w:jc w:val="both"/>
        <w:rPr>
          <w:b/>
          <w:sz w:val="24"/>
          <w:szCs w:val="24"/>
        </w:rPr>
      </w:pPr>
      <w:r w:rsidRPr="00A91BA9">
        <w:rPr>
          <w:b/>
          <w:sz w:val="24"/>
          <w:szCs w:val="24"/>
        </w:rPr>
        <w:t>There are three features of transition service</w:t>
      </w:r>
      <w:r w:rsidR="00E700B7">
        <w:rPr>
          <w:b/>
          <w:sz w:val="24"/>
          <w:szCs w:val="24"/>
        </w:rPr>
        <w:t>s</w:t>
      </w:r>
      <w:r w:rsidRPr="00A91BA9">
        <w:rPr>
          <w:b/>
          <w:sz w:val="24"/>
          <w:szCs w:val="24"/>
        </w:rPr>
        <w:t xml:space="preserve"> which really seem to make things better for young people. We are advising that health services should concentrate on them – and you may wish to ask about them</w:t>
      </w:r>
      <w:r w:rsidR="00E67A13">
        <w:rPr>
          <w:b/>
          <w:sz w:val="24"/>
          <w:szCs w:val="24"/>
        </w:rPr>
        <w:t xml:space="preserve"> and expect them</w:t>
      </w:r>
      <w:r w:rsidRPr="00A91BA9">
        <w:rPr>
          <w:b/>
          <w:sz w:val="24"/>
          <w:szCs w:val="24"/>
        </w:rPr>
        <w:t>. They are</w:t>
      </w:r>
      <w:r w:rsidR="00A86489">
        <w:rPr>
          <w:b/>
          <w:sz w:val="24"/>
          <w:szCs w:val="24"/>
        </w:rPr>
        <w:t>:</w:t>
      </w:r>
    </w:p>
    <w:p w:rsidR="00325F65" w:rsidRDefault="00E700B7" w:rsidP="00084B79">
      <w:pPr>
        <w:spacing w:after="0"/>
        <w:ind w:left="284"/>
        <w:jc w:val="both"/>
        <w:rPr>
          <w:sz w:val="24"/>
          <w:szCs w:val="24"/>
        </w:rPr>
      </w:pPr>
      <w:r>
        <w:rPr>
          <w:sz w:val="24"/>
          <w:szCs w:val="24"/>
        </w:rPr>
        <w:t>i)</w:t>
      </w:r>
      <w:r w:rsidR="00D06CCF">
        <w:rPr>
          <w:sz w:val="24"/>
          <w:szCs w:val="24"/>
        </w:rPr>
        <w:t xml:space="preserve"> Both </w:t>
      </w:r>
      <w:r w:rsidR="00325F65">
        <w:rPr>
          <w:sz w:val="24"/>
          <w:szCs w:val="24"/>
        </w:rPr>
        <w:t>adult</w:t>
      </w:r>
      <w:r w:rsidR="00BC44E8">
        <w:rPr>
          <w:sz w:val="24"/>
          <w:szCs w:val="24"/>
        </w:rPr>
        <w:t>s’</w:t>
      </w:r>
      <w:r w:rsidR="00325F65">
        <w:rPr>
          <w:sz w:val="24"/>
          <w:szCs w:val="24"/>
        </w:rPr>
        <w:t xml:space="preserve"> and </w:t>
      </w:r>
      <w:r w:rsidR="00A91BA9">
        <w:rPr>
          <w:sz w:val="24"/>
          <w:szCs w:val="24"/>
        </w:rPr>
        <w:t>children’s</w:t>
      </w:r>
      <w:r w:rsidR="00325F65">
        <w:rPr>
          <w:sz w:val="24"/>
          <w:szCs w:val="24"/>
        </w:rPr>
        <w:t xml:space="preserve"> services should give you the opportunity to talk with your doctor or nurse by </w:t>
      </w:r>
      <w:r w:rsidR="00A91BA9">
        <w:rPr>
          <w:sz w:val="24"/>
          <w:szCs w:val="24"/>
        </w:rPr>
        <w:t>yourself</w:t>
      </w:r>
      <w:r w:rsidR="00325F65">
        <w:rPr>
          <w:sz w:val="24"/>
          <w:szCs w:val="24"/>
        </w:rPr>
        <w:t xml:space="preserve">. </w:t>
      </w:r>
      <w:r w:rsidR="00A91BA9">
        <w:rPr>
          <w:sz w:val="24"/>
          <w:szCs w:val="24"/>
        </w:rPr>
        <w:t>However</w:t>
      </w:r>
      <w:r w:rsidR="00325F65">
        <w:rPr>
          <w:sz w:val="24"/>
          <w:szCs w:val="24"/>
        </w:rPr>
        <w:t>, especially in the adult service</w:t>
      </w:r>
      <w:r w:rsidR="00D06CCF">
        <w:rPr>
          <w:sz w:val="24"/>
          <w:szCs w:val="24"/>
        </w:rPr>
        <w:t>,</w:t>
      </w:r>
      <w:r w:rsidR="00325F65">
        <w:rPr>
          <w:sz w:val="24"/>
          <w:szCs w:val="24"/>
        </w:rPr>
        <w:t xml:space="preserve"> you should say whether your parent(s</w:t>
      </w:r>
      <w:r w:rsidR="00A91BA9">
        <w:rPr>
          <w:sz w:val="24"/>
          <w:szCs w:val="24"/>
        </w:rPr>
        <w:t>) could</w:t>
      </w:r>
      <w:r w:rsidR="00325F65">
        <w:rPr>
          <w:sz w:val="24"/>
          <w:szCs w:val="24"/>
        </w:rPr>
        <w:t xml:space="preserve"> also meet with the healthcare staff. If you a</w:t>
      </w:r>
      <w:r w:rsidR="005561B4">
        <w:rPr>
          <w:sz w:val="24"/>
          <w:szCs w:val="24"/>
        </w:rPr>
        <w:t>nd</w:t>
      </w:r>
      <w:r w:rsidR="00325F65">
        <w:rPr>
          <w:sz w:val="24"/>
          <w:szCs w:val="24"/>
        </w:rPr>
        <w:t xml:space="preserve"> </w:t>
      </w:r>
      <w:r w:rsidR="00A91BA9">
        <w:rPr>
          <w:sz w:val="24"/>
          <w:szCs w:val="24"/>
        </w:rPr>
        <w:t>your</w:t>
      </w:r>
      <w:r w:rsidR="00325F65">
        <w:rPr>
          <w:sz w:val="24"/>
          <w:szCs w:val="24"/>
        </w:rPr>
        <w:t xml:space="preserve"> parent(s) are both up to date with the advice from the health staff, this can make it easier for everyone. </w:t>
      </w:r>
      <w:r w:rsidR="00A91BA9">
        <w:rPr>
          <w:sz w:val="24"/>
          <w:szCs w:val="24"/>
        </w:rPr>
        <w:t>However</w:t>
      </w:r>
      <w:r w:rsidR="00325F65">
        <w:rPr>
          <w:sz w:val="24"/>
          <w:szCs w:val="24"/>
        </w:rPr>
        <w:t>, if you prefer you</w:t>
      </w:r>
      <w:r w:rsidR="005561B4">
        <w:rPr>
          <w:sz w:val="24"/>
          <w:szCs w:val="24"/>
        </w:rPr>
        <w:t>r</w:t>
      </w:r>
      <w:r w:rsidR="009E1B35">
        <w:rPr>
          <w:sz w:val="24"/>
          <w:szCs w:val="24"/>
        </w:rPr>
        <w:t xml:space="preserve"> parent(s) not to join</w:t>
      </w:r>
      <w:r w:rsidR="005561B4">
        <w:rPr>
          <w:sz w:val="24"/>
          <w:szCs w:val="24"/>
        </w:rPr>
        <w:t xml:space="preserve"> part of the </w:t>
      </w:r>
      <w:r w:rsidR="00325F65">
        <w:rPr>
          <w:sz w:val="24"/>
          <w:szCs w:val="24"/>
        </w:rPr>
        <w:t xml:space="preserve">consultation that is </w:t>
      </w:r>
      <w:r w:rsidR="009E1B35">
        <w:rPr>
          <w:sz w:val="24"/>
          <w:szCs w:val="24"/>
        </w:rPr>
        <w:t xml:space="preserve">fine </w:t>
      </w:r>
      <w:r w:rsidR="00325F65">
        <w:rPr>
          <w:sz w:val="24"/>
          <w:szCs w:val="24"/>
        </w:rPr>
        <w:t xml:space="preserve">because you must feel </w:t>
      </w:r>
      <w:r w:rsidR="00A91BA9">
        <w:rPr>
          <w:sz w:val="24"/>
          <w:szCs w:val="24"/>
        </w:rPr>
        <w:t>comfortable</w:t>
      </w:r>
      <w:r w:rsidR="00325F65">
        <w:rPr>
          <w:sz w:val="24"/>
          <w:szCs w:val="24"/>
        </w:rPr>
        <w:t xml:space="preserve"> with the arrangement if it is going to work.</w:t>
      </w:r>
    </w:p>
    <w:p w:rsidR="00A91BA9" w:rsidRDefault="00E700B7" w:rsidP="00084B79">
      <w:pPr>
        <w:spacing w:after="0"/>
        <w:ind w:left="284"/>
        <w:jc w:val="both"/>
        <w:rPr>
          <w:sz w:val="24"/>
          <w:szCs w:val="24"/>
        </w:rPr>
      </w:pPr>
      <w:r>
        <w:rPr>
          <w:sz w:val="24"/>
          <w:szCs w:val="24"/>
        </w:rPr>
        <w:t>ii)</w:t>
      </w:r>
      <w:r w:rsidR="005174F4">
        <w:rPr>
          <w:sz w:val="24"/>
          <w:szCs w:val="24"/>
        </w:rPr>
        <w:t xml:space="preserve"> It is</w:t>
      </w:r>
      <w:r w:rsidR="00325F65">
        <w:rPr>
          <w:sz w:val="24"/>
          <w:szCs w:val="24"/>
        </w:rPr>
        <w:t xml:space="preserve"> helpful if you and your parent(s) can meet the adult team before you transfer across. This can reduce </w:t>
      </w:r>
      <w:r w:rsidR="005174F4">
        <w:rPr>
          <w:sz w:val="24"/>
          <w:szCs w:val="24"/>
        </w:rPr>
        <w:t xml:space="preserve">your </w:t>
      </w:r>
      <w:r w:rsidR="00325F65">
        <w:rPr>
          <w:sz w:val="24"/>
          <w:szCs w:val="24"/>
        </w:rPr>
        <w:t xml:space="preserve">anxieties </w:t>
      </w:r>
      <w:r w:rsidR="005174F4">
        <w:rPr>
          <w:sz w:val="24"/>
          <w:szCs w:val="24"/>
        </w:rPr>
        <w:t>and</w:t>
      </w:r>
      <w:r w:rsidR="00A91BA9">
        <w:rPr>
          <w:sz w:val="24"/>
          <w:szCs w:val="24"/>
        </w:rPr>
        <w:t xml:space="preserve"> improve communication between the </w:t>
      </w:r>
      <w:r w:rsidR="009E1B35">
        <w:rPr>
          <w:sz w:val="24"/>
          <w:szCs w:val="24"/>
        </w:rPr>
        <w:t xml:space="preserve">staff </w:t>
      </w:r>
      <w:r w:rsidR="00A91BA9">
        <w:rPr>
          <w:sz w:val="24"/>
          <w:szCs w:val="24"/>
        </w:rPr>
        <w:t>in the child and adult services.</w:t>
      </w:r>
    </w:p>
    <w:p w:rsidR="00A91BA9" w:rsidRDefault="00E700B7" w:rsidP="00F7142A">
      <w:pPr>
        <w:spacing w:after="0"/>
        <w:ind w:left="284"/>
        <w:jc w:val="both"/>
        <w:rPr>
          <w:sz w:val="24"/>
          <w:szCs w:val="24"/>
        </w:rPr>
      </w:pPr>
      <w:r>
        <w:rPr>
          <w:sz w:val="24"/>
          <w:szCs w:val="24"/>
        </w:rPr>
        <w:t>iii)</w:t>
      </w:r>
      <w:r w:rsidR="00A91BA9">
        <w:rPr>
          <w:sz w:val="24"/>
          <w:szCs w:val="24"/>
        </w:rPr>
        <w:t xml:space="preserve"> You should be being helped an</w:t>
      </w:r>
      <w:r w:rsidR="00BC44E8">
        <w:rPr>
          <w:sz w:val="24"/>
          <w:szCs w:val="24"/>
        </w:rPr>
        <w:t xml:space="preserve">d encouraged to take </w:t>
      </w:r>
      <w:r w:rsidR="00A91BA9">
        <w:rPr>
          <w:sz w:val="24"/>
          <w:szCs w:val="24"/>
        </w:rPr>
        <w:t xml:space="preserve">responsibility for the care of your health condition. This should happen gradually and at a pace that suits you. </w:t>
      </w:r>
      <w:r w:rsidR="009E1B35">
        <w:rPr>
          <w:sz w:val="24"/>
          <w:szCs w:val="24"/>
        </w:rPr>
        <w:t>T</w:t>
      </w:r>
      <w:r w:rsidR="00A91BA9">
        <w:rPr>
          <w:sz w:val="24"/>
          <w:szCs w:val="24"/>
        </w:rPr>
        <w:t xml:space="preserve">he </w:t>
      </w:r>
      <w:r w:rsidR="00A91BA9" w:rsidRPr="00BC44E8">
        <w:rPr>
          <w:sz w:val="24"/>
          <w:szCs w:val="24"/>
        </w:rPr>
        <w:t>healthcare team should be talking about this with you regularly and asking you in what areas you feel confident or not so confident.</w:t>
      </w:r>
      <w:r w:rsidR="00E67A13" w:rsidRPr="00BC44E8">
        <w:rPr>
          <w:sz w:val="24"/>
          <w:szCs w:val="24"/>
        </w:rPr>
        <w:t xml:space="preserve"> Think about how to navigate the new service as well as how to manage your own condition</w:t>
      </w:r>
      <w:r w:rsidR="009E1B35">
        <w:rPr>
          <w:sz w:val="24"/>
          <w:szCs w:val="24"/>
        </w:rPr>
        <w:t>.</w:t>
      </w:r>
    </w:p>
    <w:p w:rsidR="00A91BA9" w:rsidRPr="00A91BA9" w:rsidRDefault="00A91BA9" w:rsidP="00F7142A">
      <w:pPr>
        <w:pStyle w:val="ListParagraph"/>
        <w:numPr>
          <w:ilvl w:val="0"/>
          <w:numId w:val="14"/>
        </w:numPr>
        <w:spacing w:after="0"/>
        <w:ind w:left="284" w:hanging="284"/>
        <w:jc w:val="both"/>
        <w:rPr>
          <w:b/>
          <w:sz w:val="24"/>
          <w:szCs w:val="24"/>
        </w:rPr>
      </w:pPr>
      <w:r w:rsidRPr="00A91BA9">
        <w:rPr>
          <w:b/>
          <w:sz w:val="24"/>
          <w:szCs w:val="24"/>
        </w:rPr>
        <w:t>We undertook a study which involved asking young people to</w:t>
      </w:r>
      <w:r w:rsidR="005561B4">
        <w:rPr>
          <w:b/>
          <w:sz w:val="24"/>
          <w:szCs w:val="24"/>
        </w:rPr>
        <w:t xml:space="preserve"> put in order of importance </w:t>
      </w:r>
      <w:r w:rsidRPr="00A91BA9">
        <w:rPr>
          <w:b/>
          <w:sz w:val="24"/>
          <w:szCs w:val="24"/>
        </w:rPr>
        <w:t>statements about transition.</w:t>
      </w:r>
    </w:p>
    <w:p w:rsidR="00A91BA9" w:rsidRDefault="00A91BA9" w:rsidP="00F7142A">
      <w:pPr>
        <w:spacing w:after="160"/>
        <w:ind w:left="284"/>
        <w:jc w:val="both"/>
        <w:rPr>
          <w:i/>
          <w:sz w:val="24"/>
          <w:szCs w:val="24"/>
        </w:rPr>
      </w:pPr>
      <w:r>
        <w:rPr>
          <w:sz w:val="24"/>
          <w:szCs w:val="24"/>
        </w:rPr>
        <w:t>We found a young person usually adopted one of four approaches</w:t>
      </w:r>
      <w:r w:rsidR="00BC44E8">
        <w:rPr>
          <w:sz w:val="24"/>
          <w:szCs w:val="24"/>
        </w:rPr>
        <w:t xml:space="preserve"> to transition</w:t>
      </w:r>
      <w:r>
        <w:rPr>
          <w:sz w:val="24"/>
          <w:szCs w:val="24"/>
        </w:rPr>
        <w:t xml:space="preserve"> and it would be worth discussing</w:t>
      </w:r>
      <w:r w:rsidR="00BC44E8">
        <w:rPr>
          <w:sz w:val="24"/>
          <w:szCs w:val="24"/>
        </w:rPr>
        <w:t xml:space="preserve"> yours with </w:t>
      </w:r>
      <w:r>
        <w:rPr>
          <w:sz w:val="24"/>
          <w:szCs w:val="24"/>
        </w:rPr>
        <w:t>your health team. Some young people</w:t>
      </w:r>
      <w:r w:rsidRPr="00BC44E8">
        <w:rPr>
          <w:sz w:val="24"/>
          <w:szCs w:val="24"/>
        </w:rPr>
        <w:t xml:space="preserve"> are</w:t>
      </w:r>
      <w:r w:rsidRPr="00A91BA9">
        <w:rPr>
          <w:i/>
          <w:sz w:val="24"/>
          <w:szCs w:val="24"/>
        </w:rPr>
        <w:t xml:space="preserve"> pretty laid back and relaxed about </w:t>
      </w:r>
      <w:r w:rsidR="005561B4">
        <w:rPr>
          <w:i/>
          <w:sz w:val="24"/>
          <w:szCs w:val="24"/>
        </w:rPr>
        <w:t>transition.</w:t>
      </w:r>
      <w:r>
        <w:rPr>
          <w:sz w:val="24"/>
          <w:szCs w:val="24"/>
        </w:rPr>
        <w:t xml:space="preserve"> Some are </w:t>
      </w:r>
      <w:r w:rsidRPr="00A91BA9">
        <w:rPr>
          <w:i/>
          <w:sz w:val="24"/>
          <w:szCs w:val="24"/>
        </w:rPr>
        <w:t xml:space="preserve">anxious about </w:t>
      </w:r>
      <w:r w:rsidR="005561B4">
        <w:rPr>
          <w:i/>
          <w:sz w:val="24"/>
          <w:szCs w:val="24"/>
        </w:rPr>
        <w:t>transition</w:t>
      </w:r>
      <w:r>
        <w:rPr>
          <w:sz w:val="24"/>
          <w:szCs w:val="24"/>
        </w:rPr>
        <w:t xml:space="preserve">. Some </w:t>
      </w:r>
      <w:r w:rsidRPr="00A91BA9">
        <w:rPr>
          <w:i/>
          <w:sz w:val="24"/>
          <w:szCs w:val="24"/>
        </w:rPr>
        <w:t>really want to be in control and lead what is going on</w:t>
      </w:r>
      <w:r>
        <w:rPr>
          <w:sz w:val="24"/>
          <w:szCs w:val="24"/>
        </w:rPr>
        <w:t xml:space="preserve">. And the final group, which overlaps a bit with the others, is called </w:t>
      </w:r>
      <w:r w:rsidRPr="00A91BA9">
        <w:rPr>
          <w:i/>
          <w:sz w:val="24"/>
          <w:szCs w:val="24"/>
        </w:rPr>
        <w:t xml:space="preserve">socially oriented. The young person really </w:t>
      </w:r>
      <w:r w:rsidR="00012FDE" w:rsidRPr="00A91BA9">
        <w:rPr>
          <w:i/>
          <w:sz w:val="24"/>
          <w:szCs w:val="24"/>
        </w:rPr>
        <w:t>like</w:t>
      </w:r>
      <w:r w:rsidR="009E1B35">
        <w:rPr>
          <w:i/>
          <w:sz w:val="24"/>
          <w:szCs w:val="24"/>
        </w:rPr>
        <w:t>s</w:t>
      </w:r>
      <w:r w:rsidRPr="00A91BA9">
        <w:rPr>
          <w:i/>
          <w:sz w:val="24"/>
          <w:szCs w:val="24"/>
        </w:rPr>
        <w:t xml:space="preserve"> other people to be involved and helping, whether it is close family, friends, </w:t>
      </w:r>
      <w:r w:rsidR="005561B4">
        <w:rPr>
          <w:i/>
          <w:sz w:val="24"/>
          <w:szCs w:val="24"/>
        </w:rPr>
        <w:t xml:space="preserve">or </w:t>
      </w:r>
      <w:r w:rsidRPr="00A91BA9">
        <w:rPr>
          <w:i/>
          <w:sz w:val="24"/>
          <w:szCs w:val="24"/>
        </w:rPr>
        <w:t>all the nurses and doctors in the clinic</w:t>
      </w:r>
      <w:r w:rsidR="00012FDE">
        <w:rPr>
          <w:i/>
          <w:sz w:val="24"/>
          <w:szCs w:val="24"/>
        </w:rPr>
        <w:t>.</w:t>
      </w:r>
    </w:p>
    <w:p w:rsidR="002D22C7" w:rsidRPr="00F7142A" w:rsidRDefault="00012FDE" w:rsidP="00084B79">
      <w:pPr>
        <w:pStyle w:val="ListParagraph"/>
        <w:numPr>
          <w:ilvl w:val="0"/>
          <w:numId w:val="14"/>
        </w:numPr>
        <w:ind w:left="284" w:hanging="284"/>
        <w:rPr>
          <w:rStyle w:val="Hyperlink"/>
          <w:b/>
          <w:color w:val="auto"/>
          <w:sz w:val="24"/>
          <w:szCs w:val="24"/>
          <w:u w:val="none"/>
        </w:rPr>
      </w:pPr>
      <w:r w:rsidRPr="001A3A26">
        <w:rPr>
          <w:b/>
          <w:sz w:val="24"/>
          <w:szCs w:val="24"/>
        </w:rPr>
        <w:t xml:space="preserve">You might like to look at our website. There are sections for young people. You would also see all the work that the young people’s advisory group did in assisting with all the research. </w:t>
      </w:r>
      <w:r w:rsidR="00BC44E8" w:rsidRPr="001A3A26">
        <w:rPr>
          <w:b/>
          <w:sz w:val="24"/>
          <w:szCs w:val="24"/>
        </w:rPr>
        <w:t xml:space="preserve">This group </w:t>
      </w:r>
      <w:r w:rsidRPr="001A3A26">
        <w:rPr>
          <w:b/>
          <w:sz w:val="24"/>
          <w:szCs w:val="24"/>
        </w:rPr>
        <w:t>calls itself UP.</w:t>
      </w:r>
      <w:r w:rsidR="001A3A26" w:rsidRPr="001A3A26">
        <w:rPr>
          <w:b/>
          <w:sz w:val="24"/>
          <w:szCs w:val="24"/>
        </w:rPr>
        <w:t xml:space="preserve"> </w:t>
      </w:r>
      <w:r w:rsidR="00BC44E8" w:rsidRPr="001A3A26">
        <w:rPr>
          <w:b/>
          <w:sz w:val="24"/>
          <w:szCs w:val="24"/>
        </w:rPr>
        <w:t xml:space="preserve">   </w:t>
      </w:r>
      <w:r w:rsidRPr="001A3A26">
        <w:rPr>
          <w:b/>
          <w:sz w:val="24"/>
          <w:szCs w:val="24"/>
        </w:rPr>
        <w:t xml:space="preserve"> </w:t>
      </w:r>
      <w:hyperlink r:id="rId8" w:history="1">
        <w:r w:rsidR="00BC44E8" w:rsidRPr="001A3A26">
          <w:rPr>
            <w:rStyle w:val="Hyperlink"/>
            <w:b/>
            <w:sz w:val="24"/>
            <w:szCs w:val="24"/>
          </w:rPr>
          <w:t>http://research.ncl.ac.uk/transition/</w:t>
        </w:r>
      </w:hyperlink>
    </w:p>
    <w:p w:rsidR="00F7142A" w:rsidRPr="00084B79" w:rsidRDefault="00F7142A" w:rsidP="00F7142A">
      <w:pPr>
        <w:pStyle w:val="ListParagraph"/>
        <w:ind w:left="284"/>
        <w:rPr>
          <w:rStyle w:val="Hyperlink"/>
          <w:b/>
          <w:color w:val="auto"/>
          <w:sz w:val="24"/>
          <w:szCs w:val="24"/>
          <w:u w:val="none"/>
        </w:rPr>
      </w:pPr>
    </w:p>
    <w:p w:rsidR="00084B79" w:rsidRPr="00084B79" w:rsidRDefault="00E67A13" w:rsidP="00F7142A">
      <w:pPr>
        <w:pStyle w:val="ListParagraph"/>
        <w:numPr>
          <w:ilvl w:val="0"/>
          <w:numId w:val="14"/>
        </w:numPr>
        <w:spacing w:after="0" w:line="240" w:lineRule="auto"/>
        <w:ind w:left="284" w:hanging="284"/>
        <w:jc w:val="both"/>
        <w:rPr>
          <w:sz w:val="24"/>
          <w:szCs w:val="24"/>
        </w:rPr>
      </w:pPr>
      <w:r w:rsidRPr="00084B79">
        <w:rPr>
          <w:b/>
          <w:sz w:val="24"/>
          <w:szCs w:val="24"/>
        </w:rPr>
        <w:t xml:space="preserve">You might like to look at a toolkit we developed </w:t>
      </w:r>
      <w:r w:rsidR="00A86489" w:rsidRPr="00084B79">
        <w:rPr>
          <w:b/>
          <w:sz w:val="24"/>
          <w:szCs w:val="24"/>
        </w:rPr>
        <w:t xml:space="preserve">for senior managers and doctors </w:t>
      </w:r>
      <w:r w:rsidRPr="00084B79">
        <w:rPr>
          <w:b/>
          <w:sz w:val="24"/>
          <w:szCs w:val="24"/>
        </w:rPr>
        <w:t>and which is also on the website</w:t>
      </w:r>
    </w:p>
    <w:p w:rsidR="00E67A13" w:rsidRPr="00084B79" w:rsidRDefault="00E67A13" w:rsidP="00084B79">
      <w:pPr>
        <w:spacing w:line="240" w:lineRule="auto"/>
        <w:ind w:left="284"/>
        <w:jc w:val="both"/>
        <w:rPr>
          <w:sz w:val="24"/>
          <w:szCs w:val="24"/>
        </w:rPr>
      </w:pPr>
      <w:r w:rsidRPr="00084B79">
        <w:rPr>
          <w:sz w:val="24"/>
          <w:szCs w:val="24"/>
        </w:rPr>
        <w:t xml:space="preserve">The toolkit </w:t>
      </w:r>
      <w:r w:rsidR="00A86489" w:rsidRPr="00084B79">
        <w:rPr>
          <w:sz w:val="24"/>
          <w:szCs w:val="24"/>
        </w:rPr>
        <w:t xml:space="preserve">is about </w:t>
      </w:r>
      <w:r w:rsidR="00A86489" w:rsidRPr="00084B79">
        <w:rPr>
          <w:i/>
          <w:sz w:val="24"/>
          <w:szCs w:val="24"/>
        </w:rPr>
        <w:t>Developmentally Appropriate Healthcare</w:t>
      </w:r>
      <w:r w:rsidR="00A86489" w:rsidRPr="00084B79">
        <w:rPr>
          <w:sz w:val="24"/>
          <w:szCs w:val="24"/>
        </w:rPr>
        <w:t>.</w:t>
      </w:r>
      <w:r w:rsidRPr="00084B79">
        <w:rPr>
          <w:sz w:val="24"/>
          <w:szCs w:val="24"/>
        </w:rPr>
        <w:t xml:space="preserve"> This is a bit of a mouthful but essentially it means that</w:t>
      </w:r>
      <w:r w:rsidR="00A86489" w:rsidRPr="00084B79">
        <w:rPr>
          <w:sz w:val="24"/>
          <w:szCs w:val="24"/>
        </w:rPr>
        <w:t xml:space="preserve"> young people are neither children nor adults. Young people change in many ways between the ages of 12 and 24 and healthcare staff </w:t>
      </w:r>
      <w:r w:rsidR="00F7142A">
        <w:rPr>
          <w:sz w:val="24"/>
          <w:szCs w:val="24"/>
        </w:rPr>
        <w:t xml:space="preserve">must </w:t>
      </w:r>
      <w:r w:rsidR="00A86489" w:rsidRPr="00084B79">
        <w:rPr>
          <w:sz w:val="24"/>
          <w:szCs w:val="24"/>
        </w:rPr>
        <w:t>show young pe</w:t>
      </w:r>
      <w:r w:rsidR="00F7142A">
        <w:rPr>
          <w:sz w:val="24"/>
          <w:szCs w:val="24"/>
        </w:rPr>
        <w:t xml:space="preserve">ople </w:t>
      </w:r>
      <w:r w:rsidR="00A86489" w:rsidRPr="00084B79">
        <w:rPr>
          <w:sz w:val="24"/>
          <w:szCs w:val="24"/>
        </w:rPr>
        <w:t xml:space="preserve">that they </w:t>
      </w:r>
      <w:r w:rsidR="009E1B35" w:rsidRPr="00084B79">
        <w:rPr>
          <w:sz w:val="24"/>
          <w:szCs w:val="24"/>
        </w:rPr>
        <w:t xml:space="preserve">are aware of </w:t>
      </w:r>
      <w:r w:rsidR="00F7142A">
        <w:rPr>
          <w:sz w:val="24"/>
          <w:szCs w:val="24"/>
        </w:rPr>
        <w:t xml:space="preserve">the </w:t>
      </w:r>
      <w:r w:rsidR="00DE3018" w:rsidRPr="00084B79">
        <w:rPr>
          <w:sz w:val="24"/>
          <w:szCs w:val="24"/>
        </w:rPr>
        <w:t>changes</w:t>
      </w:r>
      <w:r w:rsidR="00A86489" w:rsidRPr="00084B79">
        <w:rPr>
          <w:sz w:val="24"/>
          <w:szCs w:val="24"/>
        </w:rPr>
        <w:t xml:space="preserve"> occurring in their lives. Also healthcare staff need to help young people to feel confident</w:t>
      </w:r>
      <w:r w:rsidR="009E1B35" w:rsidRPr="00084B79">
        <w:rPr>
          <w:sz w:val="24"/>
          <w:szCs w:val="24"/>
        </w:rPr>
        <w:t>,</w:t>
      </w:r>
      <w:r w:rsidR="00A86489" w:rsidRPr="00084B79">
        <w:rPr>
          <w:sz w:val="24"/>
          <w:szCs w:val="24"/>
        </w:rPr>
        <w:t xml:space="preserve"> by having discussions in consultations about how young people can gradually take on responsibility for their health.</w:t>
      </w:r>
    </w:p>
    <w:sectPr w:rsidR="00E67A13" w:rsidRPr="00084B79" w:rsidSect="009A77F1">
      <w:headerReference w:type="default" r:id="rId9"/>
      <w:footerReference w:type="default" r:id="rId10"/>
      <w:pgSz w:w="11906" w:h="16838"/>
      <w:pgMar w:top="340" w:right="1440" w:bottom="24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066" w:rsidRDefault="00316066" w:rsidP="00396C06">
      <w:pPr>
        <w:spacing w:after="0" w:line="240" w:lineRule="auto"/>
      </w:pPr>
      <w:r>
        <w:separator/>
      </w:r>
    </w:p>
  </w:endnote>
  <w:endnote w:type="continuationSeparator" w:id="0">
    <w:p w:rsidR="00316066" w:rsidRDefault="00316066" w:rsidP="0039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A7" w:rsidRDefault="00BE7AA7">
    <w:pPr>
      <w:pStyle w:val="Footer"/>
    </w:pPr>
    <w:r>
      <w:rPr>
        <w:noProof/>
        <w:lang w:eastAsia="en-GB"/>
      </w:rPr>
      <w:drawing>
        <wp:anchor distT="0" distB="0" distL="114300" distR="114300" simplePos="0" relativeHeight="251673088" behindDoc="0" locked="0" layoutInCell="1" allowOverlap="1">
          <wp:simplePos x="0" y="0"/>
          <wp:positionH relativeFrom="margin">
            <wp:align>right</wp:align>
          </wp:positionH>
          <wp:positionV relativeFrom="paragraph">
            <wp:posOffset>130175</wp:posOffset>
          </wp:positionV>
          <wp:extent cx="750570" cy="373380"/>
          <wp:effectExtent l="0" t="0" r="0" b="7620"/>
          <wp:wrapThrough wrapText="bothSides">
            <wp:wrapPolygon edited="0">
              <wp:start x="0" y="0"/>
              <wp:lineTo x="0" y="12122"/>
              <wp:lineTo x="4934" y="17633"/>
              <wp:lineTo x="4934" y="20939"/>
              <wp:lineTo x="20284" y="20939"/>
              <wp:lineTo x="20832" y="15429"/>
              <wp:lineTo x="20832" y="0"/>
              <wp:lineTo x="0" y="0"/>
            </wp:wrapPolygon>
          </wp:wrapThrough>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570" cy="373380"/>
                  </a:xfrm>
                  <a:prstGeom prst="rect">
                    <a:avLst/>
                  </a:prstGeom>
                </pic:spPr>
              </pic:pic>
            </a:graphicData>
          </a:graphic>
        </wp:anchor>
      </w:drawing>
    </w:r>
    <w:r>
      <w:rPr>
        <w:noProof/>
        <w:lang w:eastAsia="en-GB"/>
      </w:rPr>
      <w:drawing>
        <wp:inline distT="0" distB="0" distL="0" distR="0" wp14:anchorId="1C0D4D12" wp14:editId="455271D2">
          <wp:extent cx="869209" cy="579472"/>
          <wp:effectExtent l="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9209" cy="579472"/>
                  </a:xfrm>
                  <a:prstGeom prst="rect">
                    <a:avLst/>
                  </a:prstGeom>
                </pic:spPr>
              </pic:pic>
            </a:graphicData>
          </a:graphic>
        </wp:inline>
      </w:drawing>
    </w:r>
    <w:r>
      <w:tab/>
    </w:r>
    <w:r>
      <w:rPr>
        <w:noProof/>
        <w:lang w:eastAsia="en-GB"/>
      </w:rPr>
      <w:drawing>
        <wp:inline distT="0" distB="0" distL="0" distR="0" wp14:anchorId="06E56DAB" wp14:editId="2AACED93">
          <wp:extent cx="1199515" cy="599758"/>
          <wp:effectExtent l="0" t="0" r="63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8737" cy="60936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066" w:rsidRDefault="00316066" w:rsidP="00396C06">
      <w:pPr>
        <w:spacing w:after="0" w:line="240" w:lineRule="auto"/>
      </w:pPr>
      <w:r>
        <w:separator/>
      </w:r>
    </w:p>
  </w:footnote>
  <w:footnote w:type="continuationSeparator" w:id="0">
    <w:p w:rsidR="00316066" w:rsidRDefault="00316066" w:rsidP="00396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A7" w:rsidRDefault="00BE7AA7">
    <w:pPr>
      <w:pStyle w:val="Header"/>
    </w:pPr>
    <w:r>
      <w:tab/>
    </w:r>
    <w:r>
      <w:tab/>
    </w:r>
    <w:r>
      <w:rPr>
        <w:noProof/>
        <w:lang w:eastAsia="en-GB"/>
      </w:rPr>
      <w:drawing>
        <wp:inline distT="0" distB="0" distL="0" distR="0" wp14:anchorId="4BDC5CAD" wp14:editId="5FDC2892">
          <wp:extent cx="702043" cy="406877"/>
          <wp:effectExtent l="0" t="0" r="3175"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2684" cy="4072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76F"/>
    <w:multiLevelType w:val="hybridMultilevel"/>
    <w:tmpl w:val="B6BCCFD2"/>
    <w:lvl w:ilvl="0" w:tplc="3FF27F1A">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D41566"/>
    <w:multiLevelType w:val="multilevel"/>
    <w:tmpl w:val="26E6901C"/>
    <w:lvl w:ilvl="0">
      <w:start w:val="10"/>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67D21"/>
    <w:multiLevelType w:val="hybridMultilevel"/>
    <w:tmpl w:val="7990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1486A"/>
    <w:multiLevelType w:val="multilevel"/>
    <w:tmpl w:val="7994C07C"/>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B69604A"/>
    <w:multiLevelType w:val="multilevel"/>
    <w:tmpl w:val="8E3E8590"/>
    <w:lvl w:ilvl="0">
      <w:start w:val="12"/>
      <w:numFmt w:val="decimal"/>
      <w:lvlText w:val="%1"/>
      <w:lvlJc w:val="left"/>
      <w:pPr>
        <w:ind w:left="480" w:hanging="480"/>
      </w:pPr>
      <w:rPr>
        <w:rFonts w:hint="default"/>
      </w:rPr>
    </w:lvl>
    <w:lvl w:ilvl="1">
      <w:start w:val="5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AD6EA8"/>
    <w:multiLevelType w:val="hybridMultilevel"/>
    <w:tmpl w:val="F09E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36E5A"/>
    <w:multiLevelType w:val="hybridMultilevel"/>
    <w:tmpl w:val="88EA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5069DF"/>
    <w:multiLevelType w:val="hybridMultilevel"/>
    <w:tmpl w:val="FDC62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94321D"/>
    <w:multiLevelType w:val="hybridMultilevel"/>
    <w:tmpl w:val="686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3D3A37"/>
    <w:multiLevelType w:val="hybridMultilevel"/>
    <w:tmpl w:val="E042C03A"/>
    <w:lvl w:ilvl="0" w:tplc="9D42529E">
      <w:start w:val="1"/>
      <w:numFmt w:val="upp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0" w15:restartNumberingAfterBreak="0">
    <w:nsid w:val="5BD13BF2"/>
    <w:multiLevelType w:val="hybridMultilevel"/>
    <w:tmpl w:val="7F0A3116"/>
    <w:lvl w:ilvl="0" w:tplc="688AE67C">
      <w:start w:val="1"/>
      <w:numFmt w:val="upperLetter"/>
      <w:lvlText w:val="%1."/>
      <w:lvlJc w:val="left"/>
      <w:pPr>
        <w:ind w:left="1800" w:hanging="360"/>
      </w:pPr>
      <w:rPr>
        <w:rFonts w:asciiTheme="minorHAnsi" w:eastAsiaTheme="minorHAnsi" w:hAnsiTheme="minorHAnsi" w:cstheme="minorBidi"/>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F0519A2"/>
    <w:multiLevelType w:val="hybridMultilevel"/>
    <w:tmpl w:val="44DAD3CA"/>
    <w:lvl w:ilvl="0" w:tplc="020E41DE">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5FDE03FF"/>
    <w:multiLevelType w:val="hybridMultilevel"/>
    <w:tmpl w:val="1B1A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06D72"/>
    <w:multiLevelType w:val="hybridMultilevel"/>
    <w:tmpl w:val="169E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3"/>
  </w:num>
  <w:num w:numId="5">
    <w:abstractNumId w:val="9"/>
  </w:num>
  <w:num w:numId="6">
    <w:abstractNumId w:val="2"/>
  </w:num>
  <w:num w:numId="7">
    <w:abstractNumId w:val="8"/>
  </w:num>
  <w:num w:numId="8">
    <w:abstractNumId w:val="12"/>
  </w:num>
  <w:num w:numId="9">
    <w:abstractNumId w:val="7"/>
  </w:num>
  <w:num w:numId="10">
    <w:abstractNumId w:val="0"/>
  </w:num>
  <w:num w:numId="11">
    <w:abstractNumId w:val="5"/>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06"/>
    <w:rsid w:val="00012FDE"/>
    <w:rsid w:val="00023490"/>
    <w:rsid w:val="00024ED5"/>
    <w:rsid w:val="00025D67"/>
    <w:rsid w:val="00027D62"/>
    <w:rsid w:val="000474BD"/>
    <w:rsid w:val="00056207"/>
    <w:rsid w:val="00067564"/>
    <w:rsid w:val="00084B79"/>
    <w:rsid w:val="00085EAB"/>
    <w:rsid w:val="000C65A9"/>
    <w:rsid w:val="000C6B52"/>
    <w:rsid w:val="000D1542"/>
    <w:rsid w:val="000F0806"/>
    <w:rsid w:val="000F3EF8"/>
    <w:rsid w:val="0010177A"/>
    <w:rsid w:val="00123F61"/>
    <w:rsid w:val="0014763C"/>
    <w:rsid w:val="00156316"/>
    <w:rsid w:val="001764E9"/>
    <w:rsid w:val="00195A69"/>
    <w:rsid w:val="00196566"/>
    <w:rsid w:val="001A3A26"/>
    <w:rsid w:val="001B0BC6"/>
    <w:rsid w:val="001C5C3B"/>
    <w:rsid w:val="001E0C66"/>
    <w:rsid w:val="001E6E9F"/>
    <w:rsid w:val="001E7F93"/>
    <w:rsid w:val="001F0770"/>
    <w:rsid w:val="00207D1C"/>
    <w:rsid w:val="00215EF2"/>
    <w:rsid w:val="002222EE"/>
    <w:rsid w:val="002324F4"/>
    <w:rsid w:val="002478B0"/>
    <w:rsid w:val="002562AA"/>
    <w:rsid w:val="0026582C"/>
    <w:rsid w:val="0027001A"/>
    <w:rsid w:val="002706A4"/>
    <w:rsid w:val="00280649"/>
    <w:rsid w:val="00292C68"/>
    <w:rsid w:val="00293350"/>
    <w:rsid w:val="002951BF"/>
    <w:rsid w:val="002953C7"/>
    <w:rsid w:val="002A2685"/>
    <w:rsid w:val="002A7605"/>
    <w:rsid w:val="002B4241"/>
    <w:rsid w:val="002C2598"/>
    <w:rsid w:val="002C5F92"/>
    <w:rsid w:val="002D22C7"/>
    <w:rsid w:val="002D2895"/>
    <w:rsid w:val="00301DC7"/>
    <w:rsid w:val="00316066"/>
    <w:rsid w:val="00325F65"/>
    <w:rsid w:val="0032765C"/>
    <w:rsid w:val="003376DA"/>
    <w:rsid w:val="00343D76"/>
    <w:rsid w:val="00360827"/>
    <w:rsid w:val="00380B46"/>
    <w:rsid w:val="00396646"/>
    <w:rsid w:val="00396C06"/>
    <w:rsid w:val="00397769"/>
    <w:rsid w:val="003A301D"/>
    <w:rsid w:val="003A47AC"/>
    <w:rsid w:val="003B3E78"/>
    <w:rsid w:val="003C05A4"/>
    <w:rsid w:val="003C2614"/>
    <w:rsid w:val="003C3FF3"/>
    <w:rsid w:val="003E5D8C"/>
    <w:rsid w:val="003F254A"/>
    <w:rsid w:val="003F3EAA"/>
    <w:rsid w:val="003F48D5"/>
    <w:rsid w:val="00410C27"/>
    <w:rsid w:val="00412CB7"/>
    <w:rsid w:val="004206A1"/>
    <w:rsid w:val="0042157F"/>
    <w:rsid w:val="00423ECC"/>
    <w:rsid w:val="00430290"/>
    <w:rsid w:val="004401CC"/>
    <w:rsid w:val="00440AD6"/>
    <w:rsid w:val="00441E74"/>
    <w:rsid w:val="004472E8"/>
    <w:rsid w:val="00471D9B"/>
    <w:rsid w:val="004A1700"/>
    <w:rsid w:val="004C5DAA"/>
    <w:rsid w:val="004D2B10"/>
    <w:rsid w:val="004E23F3"/>
    <w:rsid w:val="004E59AE"/>
    <w:rsid w:val="005031F4"/>
    <w:rsid w:val="00506EBB"/>
    <w:rsid w:val="005174F4"/>
    <w:rsid w:val="005205F4"/>
    <w:rsid w:val="0054402A"/>
    <w:rsid w:val="00546C28"/>
    <w:rsid w:val="005561B4"/>
    <w:rsid w:val="005657C7"/>
    <w:rsid w:val="005715D1"/>
    <w:rsid w:val="00587494"/>
    <w:rsid w:val="00590CDF"/>
    <w:rsid w:val="005A51C7"/>
    <w:rsid w:val="005C72CE"/>
    <w:rsid w:val="005E4FD4"/>
    <w:rsid w:val="005E50B6"/>
    <w:rsid w:val="0060187D"/>
    <w:rsid w:val="006231DE"/>
    <w:rsid w:val="00633FCC"/>
    <w:rsid w:val="006401AD"/>
    <w:rsid w:val="00651660"/>
    <w:rsid w:val="006546E4"/>
    <w:rsid w:val="00661D42"/>
    <w:rsid w:val="00696F33"/>
    <w:rsid w:val="006A2314"/>
    <w:rsid w:val="006A61FB"/>
    <w:rsid w:val="006A7469"/>
    <w:rsid w:val="006C60D7"/>
    <w:rsid w:val="006D4ACA"/>
    <w:rsid w:val="006D520E"/>
    <w:rsid w:val="006D5894"/>
    <w:rsid w:val="00705D82"/>
    <w:rsid w:val="007077B2"/>
    <w:rsid w:val="00722DBF"/>
    <w:rsid w:val="00740C64"/>
    <w:rsid w:val="00741263"/>
    <w:rsid w:val="00757AFC"/>
    <w:rsid w:val="0076219D"/>
    <w:rsid w:val="00772D9E"/>
    <w:rsid w:val="00780BE8"/>
    <w:rsid w:val="00787B57"/>
    <w:rsid w:val="00792206"/>
    <w:rsid w:val="007B1C0F"/>
    <w:rsid w:val="007C6148"/>
    <w:rsid w:val="007D268A"/>
    <w:rsid w:val="007D3117"/>
    <w:rsid w:val="007E0336"/>
    <w:rsid w:val="007E6B22"/>
    <w:rsid w:val="007F0E25"/>
    <w:rsid w:val="00804FC6"/>
    <w:rsid w:val="00806141"/>
    <w:rsid w:val="00814A96"/>
    <w:rsid w:val="00816F26"/>
    <w:rsid w:val="00826363"/>
    <w:rsid w:val="00842979"/>
    <w:rsid w:val="00850652"/>
    <w:rsid w:val="008531D8"/>
    <w:rsid w:val="00873BAC"/>
    <w:rsid w:val="00875547"/>
    <w:rsid w:val="008766FF"/>
    <w:rsid w:val="00881D39"/>
    <w:rsid w:val="00884A2D"/>
    <w:rsid w:val="008917F6"/>
    <w:rsid w:val="008A6A49"/>
    <w:rsid w:val="008C4B80"/>
    <w:rsid w:val="008D7CFA"/>
    <w:rsid w:val="008F0C6D"/>
    <w:rsid w:val="008F61CF"/>
    <w:rsid w:val="008F7D0E"/>
    <w:rsid w:val="009121C6"/>
    <w:rsid w:val="0091554A"/>
    <w:rsid w:val="00941C37"/>
    <w:rsid w:val="0095000E"/>
    <w:rsid w:val="00954571"/>
    <w:rsid w:val="00962229"/>
    <w:rsid w:val="009665AB"/>
    <w:rsid w:val="009712F9"/>
    <w:rsid w:val="009840F0"/>
    <w:rsid w:val="00984FAB"/>
    <w:rsid w:val="009969C1"/>
    <w:rsid w:val="009A77F1"/>
    <w:rsid w:val="009B564A"/>
    <w:rsid w:val="009C2C33"/>
    <w:rsid w:val="009C4EEF"/>
    <w:rsid w:val="009C5CE1"/>
    <w:rsid w:val="009D44E3"/>
    <w:rsid w:val="009D73B9"/>
    <w:rsid w:val="009E1B35"/>
    <w:rsid w:val="009E5157"/>
    <w:rsid w:val="00A044ED"/>
    <w:rsid w:val="00A06EEF"/>
    <w:rsid w:val="00A10903"/>
    <w:rsid w:val="00A10F3D"/>
    <w:rsid w:val="00A16AB7"/>
    <w:rsid w:val="00A302F3"/>
    <w:rsid w:val="00A32E5D"/>
    <w:rsid w:val="00A34532"/>
    <w:rsid w:val="00A43E7C"/>
    <w:rsid w:val="00A45025"/>
    <w:rsid w:val="00A47CD4"/>
    <w:rsid w:val="00A54F21"/>
    <w:rsid w:val="00A650D7"/>
    <w:rsid w:val="00A65FD1"/>
    <w:rsid w:val="00A80F03"/>
    <w:rsid w:val="00A81051"/>
    <w:rsid w:val="00A827A6"/>
    <w:rsid w:val="00A86489"/>
    <w:rsid w:val="00A91BA9"/>
    <w:rsid w:val="00A93862"/>
    <w:rsid w:val="00A93BB7"/>
    <w:rsid w:val="00A96234"/>
    <w:rsid w:val="00A96992"/>
    <w:rsid w:val="00AA4BC4"/>
    <w:rsid w:val="00AB214C"/>
    <w:rsid w:val="00AE356A"/>
    <w:rsid w:val="00AE6B4B"/>
    <w:rsid w:val="00B0583E"/>
    <w:rsid w:val="00B069BC"/>
    <w:rsid w:val="00B21884"/>
    <w:rsid w:val="00B31A88"/>
    <w:rsid w:val="00B31AF4"/>
    <w:rsid w:val="00B51299"/>
    <w:rsid w:val="00B548F6"/>
    <w:rsid w:val="00B73728"/>
    <w:rsid w:val="00B779CA"/>
    <w:rsid w:val="00B81DE3"/>
    <w:rsid w:val="00B83E8F"/>
    <w:rsid w:val="00B96A00"/>
    <w:rsid w:val="00BC3544"/>
    <w:rsid w:val="00BC44E8"/>
    <w:rsid w:val="00BD76BA"/>
    <w:rsid w:val="00BE5E00"/>
    <w:rsid w:val="00BE7AA7"/>
    <w:rsid w:val="00BF4FA7"/>
    <w:rsid w:val="00C13EA4"/>
    <w:rsid w:val="00C15108"/>
    <w:rsid w:val="00C203C7"/>
    <w:rsid w:val="00C4708F"/>
    <w:rsid w:val="00C664B5"/>
    <w:rsid w:val="00C66692"/>
    <w:rsid w:val="00C84928"/>
    <w:rsid w:val="00C865EB"/>
    <w:rsid w:val="00CA2004"/>
    <w:rsid w:val="00CB035C"/>
    <w:rsid w:val="00CC5C40"/>
    <w:rsid w:val="00CD2896"/>
    <w:rsid w:val="00CD7631"/>
    <w:rsid w:val="00CE0324"/>
    <w:rsid w:val="00CE29CC"/>
    <w:rsid w:val="00CE622B"/>
    <w:rsid w:val="00CF0AD9"/>
    <w:rsid w:val="00D0290F"/>
    <w:rsid w:val="00D03292"/>
    <w:rsid w:val="00D060B9"/>
    <w:rsid w:val="00D06CCF"/>
    <w:rsid w:val="00D13666"/>
    <w:rsid w:val="00D20317"/>
    <w:rsid w:val="00D266BB"/>
    <w:rsid w:val="00D35262"/>
    <w:rsid w:val="00D37B7D"/>
    <w:rsid w:val="00D41AFE"/>
    <w:rsid w:val="00D509AE"/>
    <w:rsid w:val="00D61916"/>
    <w:rsid w:val="00D7009B"/>
    <w:rsid w:val="00D73935"/>
    <w:rsid w:val="00D758AE"/>
    <w:rsid w:val="00D7619F"/>
    <w:rsid w:val="00D97556"/>
    <w:rsid w:val="00DB25BA"/>
    <w:rsid w:val="00DC056E"/>
    <w:rsid w:val="00DC2E37"/>
    <w:rsid w:val="00DC3186"/>
    <w:rsid w:val="00DE3018"/>
    <w:rsid w:val="00DE40BA"/>
    <w:rsid w:val="00E14CC0"/>
    <w:rsid w:val="00E3629C"/>
    <w:rsid w:val="00E37B63"/>
    <w:rsid w:val="00E37C54"/>
    <w:rsid w:val="00E46E9D"/>
    <w:rsid w:val="00E65615"/>
    <w:rsid w:val="00E67A13"/>
    <w:rsid w:val="00E700B7"/>
    <w:rsid w:val="00E72808"/>
    <w:rsid w:val="00E85107"/>
    <w:rsid w:val="00ED11FE"/>
    <w:rsid w:val="00ED3B73"/>
    <w:rsid w:val="00ED43D6"/>
    <w:rsid w:val="00EE3C3C"/>
    <w:rsid w:val="00F0253A"/>
    <w:rsid w:val="00F15383"/>
    <w:rsid w:val="00F17159"/>
    <w:rsid w:val="00F32470"/>
    <w:rsid w:val="00F34948"/>
    <w:rsid w:val="00F57DE1"/>
    <w:rsid w:val="00F706D2"/>
    <w:rsid w:val="00F7142A"/>
    <w:rsid w:val="00F74395"/>
    <w:rsid w:val="00F85AB7"/>
    <w:rsid w:val="00FA7643"/>
    <w:rsid w:val="00FD1918"/>
    <w:rsid w:val="00FE0CA3"/>
    <w:rsid w:val="00FE2F09"/>
    <w:rsid w:val="00FF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ECC7E2-5DEE-4658-8B5D-3D16E4F1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9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2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3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A77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C06"/>
  </w:style>
  <w:style w:type="paragraph" w:styleId="Footer">
    <w:name w:val="footer"/>
    <w:basedOn w:val="Normal"/>
    <w:link w:val="FooterChar"/>
    <w:uiPriority w:val="99"/>
    <w:unhideWhenUsed/>
    <w:rsid w:val="00396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C06"/>
  </w:style>
  <w:style w:type="paragraph" w:styleId="BalloonText">
    <w:name w:val="Balloon Text"/>
    <w:basedOn w:val="Normal"/>
    <w:link w:val="BalloonTextChar"/>
    <w:uiPriority w:val="99"/>
    <w:semiHidden/>
    <w:unhideWhenUsed/>
    <w:rsid w:val="00396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06"/>
    <w:rPr>
      <w:rFonts w:ascii="Tahoma" w:hAnsi="Tahoma" w:cs="Tahoma"/>
      <w:sz w:val="16"/>
      <w:szCs w:val="16"/>
    </w:rPr>
  </w:style>
  <w:style w:type="character" w:customStyle="1" w:styleId="Heading1Char">
    <w:name w:val="Heading 1 Char"/>
    <w:basedOn w:val="DefaultParagraphFont"/>
    <w:link w:val="Heading1"/>
    <w:uiPriority w:val="9"/>
    <w:rsid w:val="00F3494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73935"/>
    <w:pPr>
      <w:spacing w:after="160" w:line="259" w:lineRule="auto"/>
      <w:ind w:left="720"/>
      <w:contextualSpacing/>
    </w:pPr>
  </w:style>
  <w:style w:type="paragraph" w:styleId="NoSpacing">
    <w:name w:val="No Spacing"/>
    <w:uiPriority w:val="1"/>
    <w:qFormat/>
    <w:rsid w:val="00CD2896"/>
    <w:pPr>
      <w:spacing w:after="0" w:line="240" w:lineRule="auto"/>
    </w:pPr>
  </w:style>
  <w:style w:type="character" w:customStyle="1" w:styleId="Heading2Char">
    <w:name w:val="Heading 2 Char"/>
    <w:basedOn w:val="DefaultParagraphFont"/>
    <w:link w:val="Heading2"/>
    <w:uiPriority w:val="9"/>
    <w:rsid w:val="00CD2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33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A77F1"/>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7009B"/>
    <w:rPr>
      <w:color w:val="0000FF" w:themeColor="hyperlink"/>
      <w:u w:val="single"/>
    </w:rPr>
  </w:style>
  <w:style w:type="table" w:styleId="TableGrid">
    <w:name w:val="Table Grid"/>
    <w:basedOn w:val="TableNormal"/>
    <w:uiPriority w:val="39"/>
    <w:rsid w:val="00DB25BA"/>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cl.ac.uk/trans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596A-30D4-41EA-A75A-4A0DF88A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 Colver</cp:lastModifiedBy>
  <cp:revision>4</cp:revision>
  <cp:lastPrinted>2017-10-08T10:41:00Z</cp:lastPrinted>
  <dcterms:created xsi:type="dcterms:W3CDTF">2017-10-10T09:22:00Z</dcterms:created>
  <dcterms:modified xsi:type="dcterms:W3CDTF">2017-10-10T09:22:00Z</dcterms:modified>
</cp:coreProperties>
</file>